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312" w:afterLines="100" w:line="560" w:lineRule="exact"/>
        <w:jc w:val="center"/>
        <w:rPr>
          <w:rFonts w:ascii="方正小标宋简体" w:hAnsi="仿宋_GB2312" w:eastAsia="方正小标宋简体" w:cs="仿宋_GB2312"/>
          <w:color w:val="000000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color w:val="000000"/>
          <w:sz w:val="36"/>
          <w:szCs w:val="36"/>
        </w:rPr>
        <w:t>北京市企业科技研究开发机构拟认定名单</w:t>
      </w:r>
    </w:p>
    <w:tbl>
      <w:tblPr>
        <w:tblStyle w:val="2"/>
        <w:tblW w:w="861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4"/>
        <w:gridCol w:w="737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tblHeader/>
          <w:jc w:val="center"/>
        </w:trPr>
        <w:tc>
          <w:tcPr>
            <w:tcW w:w="1244" w:type="dxa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7375" w:type="dxa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北京中安泰华科技有限公司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国珍健康科技（北京）有限公司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中路交建（北京）工程材料技术有限公司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云控智行科技有限公司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北京九天微星科技发展有限公司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6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北京科途医学科技有限公司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7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德诺杰亿（北京）生物科技有限公司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8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北京千禧维讯科技有限公司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9</w:t>
            </w:r>
          </w:p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10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北京呈诺医学科技有限公司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10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国开启科量子技术（北京）有限公司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11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北京国电高科科技有限公司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12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北京轨道交通路网管理有限公司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1244" w:type="dxa"/>
            <w:shd w:val="clear" w:color="000000" w:fill="FFFFFF"/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  <w:r>
              <w:rPr>
                <w:rFonts w:ascii="仿宋_GB2312" w:hAnsi="宋体" w:eastAsia="仿宋_GB2312" w:cs="宋体"/>
                <w:kern w:val="0"/>
                <w:sz w:val="28"/>
                <w:szCs w:val="28"/>
              </w:rPr>
              <w:t>3</w:t>
            </w:r>
          </w:p>
        </w:tc>
        <w:tc>
          <w:tcPr>
            <w:tcW w:w="7375" w:type="dxa"/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北京倍舒特妇幼用品有限公司科学技术分公司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B179D0"/>
    <w:rsid w:val="09C479CB"/>
    <w:rsid w:val="43B179D0"/>
    <w:rsid w:val="65B32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2021-08-26T02:02:00Z</dcterms:created>
  <dc:creator>zhuhongying</dc:creator>
  <cp:lastModifiedBy>zzp</cp:lastModifiedBy>
  <dcterms:modified xsi:type="dcterms:W3CDTF">2021-10-20T01:50:24Z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3B0FE499681243FAB422C92979B0CD44</vt:lpwstr>
  </property>
</Properties>
</file>