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default" w:ascii="黑体" w:hAnsi="黑体" w:eastAsia="黑体"/>
          <w:b w:val="0"/>
          <w:bCs/>
          <w:sz w:val="32"/>
          <w:szCs w:val="32"/>
          <w:lang w:val="en-US"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3-5</w:t>
      </w:r>
    </w:p>
    <w:p>
      <w:pPr>
        <w:snapToGrid w:val="0"/>
        <w:spacing w:line="560" w:lineRule="exact"/>
        <w:jc w:val="left"/>
        <w:rPr>
          <w:rFonts w:hint="eastAsia" w:ascii="黑体" w:hAnsi="黑体" w:eastAsia="黑体"/>
          <w:b w:val="0"/>
          <w:bCs/>
          <w:sz w:val="32"/>
          <w:szCs w:val="32"/>
        </w:rPr>
      </w:pP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产业链协同配套项目投资科目说明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bookmarkStart w:id="10" w:name="_GoBack"/>
      <w:bookmarkEnd w:id="10"/>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5"/>
        <w:tblW w:w="8428" w:type="dxa"/>
        <w:jc w:val="center"/>
        <w:tblLayout w:type="fixed"/>
        <w:tblCellMar>
          <w:top w:w="0" w:type="dxa"/>
          <w:left w:w="108" w:type="dxa"/>
          <w:bottom w:w="0" w:type="dxa"/>
          <w:right w:w="108" w:type="dxa"/>
        </w:tblCellMar>
      </w:tblPr>
      <w:tblGrid>
        <w:gridCol w:w="963"/>
        <w:gridCol w:w="2926"/>
        <w:gridCol w:w="1498"/>
        <w:gridCol w:w="1738"/>
        <w:gridCol w:w="1303"/>
      </w:tblGrid>
      <w:tr>
        <w:tblPrEx>
          <w:tblCellMar>
            <w:top w:w="0" w:type="dxa"/>
            <w:left w:w="108" w:type="dxa"/>
            <w:bottom w:w="0" w:type="dxa"/>
            <w:right w:w="108" w:type="dxa"/>
          </w:tblCellMar>
        </w:tblPrEx>
        <w:trPr>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asciiTheme="minorEastAsia" w:hAnsiTheme="minorEastAsia" w:eastAsiaTheme="minorEastAsia"/>
                <w:b/>
                <w:kern w:val="0"/>
              </w:rPr>
            </w:pPr>
            <w:r>
              <w:rPr>
                <w:rFonts w:hint="eastAsia" w:asciiTheme="minorEastAsia" w:hAnsiTheme="minorEastAsia" w:eastAsiaTheme="minorEastAsia"/>
                <w:b/>
                <w:kern w:val="0"/>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asciiTheme="minorEastAsia" w:hAnsiTheme="minorEastAsia" w:eastAsiaTheme="minorEastAsia"/>
                <w:b/>
                <w:kern w:val="0"/>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计划总投资</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实际已投入金额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未投入金额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cs="宋体" w:asciiTheme="minorEastAsia" w:hAnsiTheme="minorEastAsia" w:eastAsiaTheme="minorEastAsia"/>
                <w:kern w:val="0"/>
              </w:rPr>
              <w:t>1.</w:t>
            </w:r>
            <w:r>
              <w:rPr>
                <w:rFonts w:hint="eastAsia" w:cs="宋体" w:asciiTheme="minorEastAsia" w:hAnsiTheme="minorEastAsia" w:eastAsiaTheme="minorEastAsia"/>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研发场地租赁费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0" w:name="_Toc513887954"/>
            <w:bookmarkStart w:id="1" w:name="_Toc513887581"/>
            <w:bookmarkStart w:id="2" w:name="_Toc514322447"/>
            <w:bookmarkStart w:id="3" w:name="_Toc518046062"/>
            <w:r>
              <w:rPr>
                <w:rFonts w:hint="eastAsia" w:cs="宋体" w:asciiTheme="minorEastAsia" w:hAnsiTheme="minorEastAsia" w:eastAsiaTheme="minorEastAsia"/>
                <w:kern w:val="0"/>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4" w:name="_Toc514322444"/>
            <w:bookmarkStart w:id="5" w:name="_Toc518046059"/>
            <w:r>
              <w:rPr>
                <w:rFonts w:hint="eastAsia" w:cs="宋体" w:asciiTheme="minorEastAsia" w:hAnsiTheme="minorEastAsia" w:eastAsiaTheme="minorEastAsia"/>
                <w:kern w:val="0"/>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6" w:name="_Toc518046056"/>
            <w:bookmarkStart w:id="7" w:name="_Toc513887578"/>
            <w:bookmarkStart w:id="8" w:name="_Toc514322441"/>
            <w:bookmarkStart w:id="9" w:name="_Toc513887951"/>
            <w:r>
              <w:rPr>
                <w:rFonts w:hint="eastAsia" w:cs="宋体" w:asciiTheme="minorEastAsia" w:hAnsiTheme="minorEastAsia" w:eastAsiaTheme="minorEastAsia"/>
                <w:kern w:val="0"/>
              </w:rPr>
              <w:t>研发人员费（含劳务费）</w:t>
            </w:r>
            <w:bookmarkEnd w:id="6"/>
            <w:bookmarkEnd w:id="7"/>
            <w:bookmarkEnd w:id="8"/>
            <w:bookmarkEnd w:id="9"/>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其他费用</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国际合作交流</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rPr>
        <w:t>环境建设费：含建安工程费和研发场地租赁费。建安工程费包括建筑工程费和安装工程费，具体可包括与项目有关的土建工程、公用工程、装修和改造工程。研发场地租赁费指项目研发场地租金，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租赁场地，需明确项目租用场地面积，提供房屋租赁合同。</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 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材料费：指在成果转化落地过程中消耗的各种原材料、辅助材料等低值易耗品的采购及运输、装卸、整理等费用。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成果转化落地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5.</w:t>
      </w:r>
      <w:r>
        <w:rPr>
          <w:rFonts w:hint="eastAsia" w:ascii="仿宋_GB2312" w:hAnsi="Times New Roman" w:eastAsia="仿宋_GB2312"/>
          <w:sz w:val="28"/>
          <w:szCs w:val="28"/>
        </w:rPr>
        <w:t>研发人员费（含劳务费）：是指在成果转化落地过程中，支付给项目组成员以及项目组聘用的研究人员、科研辅助人员的费用。不包括社会保险金和住房公积金。</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提交材料要求：提供项目组及项目组聘用的研究人员、科研辅助人员等的名单、计费标准、工作时间等，无明细说明不予审核。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燃料动力费：是指在成果转化落地过程中相关大型仪器设备、专用科学装置等运行发生的可以单独计量的水、电、气、燃料消耗等费用。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7.</w:t>
      </w:r>
      <w:r>
        <w:rPr>
          <w:rFonts w:hint="eastAsia" w:ascii="仿宋_GB2312" w:hAnsi="Times New Roman" w:eastAsia="仿宋_GB2312"/>
          <w:sz w:val="28"/>
          <w:szCs w:val="28"/>
        </w:rPr>
        <w:t>差旅费：是指在成果转化落地过程中开展科学实验（试验）、科学考察、业务调研、学术交流等所发生的城市间交通费、住宿费、伙食补助费和市内交通费等。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8.</w:t>
      </w:r>
      <w:r>
        <w:rPr>
          <w:rFonts w:hint="eastAsia" w:ascii="仿宋_GB2312" w:hAnsi="Times New Roman" w:eastAsia="仿宋_GB2312"/>
          <w:sz w:val="28"/>
          <w:szCs w:val="28"/>
        </w:rPr>
        <w:t>会议费：是指在成果转化落地过程中为组织开展学术研讨、咨询论证，以及组织协调项目等活动而发生的会议费用。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9.</w:t>
      </w:r>
      <w:r>
        <w:rPr>
          <w:rFonts w:hint="eastAsia" w:ascii="仿宋_GB2312" w:hAnsi="Times New Roman" w:eastAsia="仿宋_GB2312"/>
          <w:sz w:val="28"/>
          <w:szCs w:val="28"/>
        </w:rPr>
        <w:t>国际合作交流费：是指在成果转化落地过程中，研究人员出国及外国专家来华开展科学技术交流与合作的费用。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ascii="仿宋_GB2312" w:hAnsi="Times New Roman" w:eastAsia="仿宋_GB2312"/>
          <w:sz w:val="28"/>
          <w:szCs w:val="28"/>
        </w:rPr>
        <w:t>0.</w:t>
      </w:r>
      <w:r>
        <w:rPr>
          <w:rFonts w:hint="eastAsia" w:ascii="仿宋_GB2312" w:hAnsi="Times New Roman" w:eastAsia="仿宋_GB2312"/>
          <w:sz w:val="28"/>
          <w:szCs w:val="28"/>
        </w:rPr>
        <w:t>档案/出版/文献/信息传播/知识产权事务费：是指在成果转化落地过程中，需要支付的出版费、资料及印刷费、文献检索费、专业通信费、专利申请及其他知识产权事务等费用。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咨询费：是指在成果转化落地过程中，支付给临时聘请的咨询专家的费用。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12</w:t>
      </w:r>
      <w:r>
        <w:rPr>
          <w:rFonts w:hint="default" w:ascii="仿宋_GB2312" w:hAnsi="Times New Roman" w:eastAsia="仿宋_GB2312"/>
          <w:sz w:val="28"/>
          <w:szCs w:val="28"/>
        </w:rPr>
        <w:t>.</w:t>
      </w:r>
      <w:r>
        <w:rPr>
          <w:rFonts w:hint="eastAsia" w:ascii="仿宋_GB2312" w:hAnsi="Times New Roman" w:eastAsia="仿宋_GB2312"/>
          <w:sz w:val="28"/>
          <w:szCs w:val="28"/>
        </w:rPr>
        <w:t>其他费：是指在成果转化落地过程中除上述支出费用之外的其他支出等。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13</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14</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2EC37518"/>
    <w:rsid w:val="3CB91B4F"/>
    <w:rsid w:val="4C205F23"/>
    <w:rsid w:val="4CF50450"/>
    <w:rsid w:val="52E42F22"/>
    <w:rsid w:val="5334497E"/>
    <w:rsid w:val="56ED2186"/>
    <w:rsid w:val="6E7758AB"/>
    <w:rsid w:val="6E7858FC"/>
    <w:rsid w:val="6FD0295C"/>
    <w:rsid w:val="6FD94E01"/>
    <w:rsid w:val="6FFD72A0"/>
    <w:rsid w:val="7B35193B"/>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semiHidden/>
    <w:qFormat/>
    <w:uiPriority w:val="99"/>
    <w:rPr>
      <w:rFonts w:ascii="Calibri" w:hAnsi="Calibri" w:eastAsia="宋体" w:cs="Times New Roman"/>
      <w:sz w:val="18"/>
      <w:szCs w:val="18"/>
    </w:rPr>
  </w:style>
  <w:style w:type="character" w:customStyle="1" w:styleId="9">
    <w:name w:val="页脚 字符"/>
    <w:basedOn w:val="6"/>
    <w:link w:val="3"/>
    <w:qFormat/>
    <w:uiPriority w:val="99"/>
    <w:rPr>
      <w:rFonts w:ascii="Calibri" w:hAnsi="Calibri" w:eastAsia="宋体" w:cs="Times New Roman"/>
      <w:sz w:val="18"/>
      <w:szCs w:val="18"/>
    </w:rPr>
  </w:style>
  <w:style w:type="character" w:customStyle="1" w:styleId="10">
    <w:name w:val="批注框文本 字符"/>
    <w:basedOn w:val="6"/>
    <w:link w:val="2"/>
    <w:semiHidden/>
    <w:qFormat/>
    <w:uiPriority w:val="99"/>
    <w:rPr>
      <w:rFonts w:ascii="Calibri" w:hAnsi="Calibri"/>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338</Words>
  <Characters>1931</Characters>
  <Lines>16</Lines>
  <Paragraphs>4</Paragraphs>
  <TotalTime>2</TotalTime>
  <ScaleCrop>false</ScaleCrop>
  <LinksUpToDate>false</LinksUpToDate>
  <CharactersWithSpaces>2265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张旭</cp:lastModifiedBy>
  <dcterms:modified xsi:type="dcterms:W3CDTF">2021-07-17T05:40:33Z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722AD8DFB71F4AA69AEB7CD4B3C65301</vt:lpwstr>
  </property>
</Properties>
</file>