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outlineLvl w:val="1"/>
        <w:rPr>
          <w:rFonts w:ascii="黑体" w:hAnsi="黑体" w:eastAsia="黑体" w:cs="Times New Roman"/>
          <w:b w:val="0"/>
          <w:bCs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 w:val="0"/>
          <w:sz w:val="32"/>
          <w:szCs w:val="32"/>
        </w:rPr>
        <w:t>附件</w:t>
      </w:r>
      <w:r>
        <w:rPr>
          <w:rFonts w:ascii="黑体" w:hAnsi="黑体" w:eastAsia="黑体" w:cs="Times New Roman"/>
          <w:b w:val="0"/>
          <w:bCs w:val="0"/>
          <w:sz w:val="32"/>
          <w:szCs w:val="32"/>
        </w:rPr>
        <w:t>2</w:t>
      </w:r>
    </w:p>
    <w:p>
      <w:pPr>
        <w:jc w:val="center"/>
        <w:rPr>
          <w:sz w:val="44"/>
          <w:szCs w:val="44"/>
        </w:rPr>
      </w:pPr>
      <w:bookmarkStart w:id="0" w:name="_GoBack"/>
      <w:bookmarkEnd w:id="0"/>
    </w:p>
    <w:p>
      <w:pPr>
        <w:jc w:val="center"/>
        <w:rPr>
          <w:sz w:val="44"/>
          <w:szCs w:val="44"/>
        </w:rPr>
      </w:pPr>
    </w:p>
    <w:p>
      <w:pPr>
        <w:jc w:val="center"/>
        <w:rPr>
          <w:rFonts w:eastAsia="仿宋_GB2312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cap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aps/>
          <w:sz w:val="44"/>
          <w:szCs w:val="44"/>
        </w:rPr>
        <w:t>北京市第一批国家级专精特新“小巨人”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cap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aps/>
          <w:sz w:val="44"/>
          <w:szCs w:val="44"/>
        </w:rPr>
        <w:t>企业高质量发展公共服务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cap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aps/>
          <w:sz w:val="44"/>
          <w:szCs w:val="44"/>
        </w:rPr>
        <w:t>示范平台服务方案</w:t>
      </w:r>
    </w:p>
    <w:p>
      <w:pPr>
        <w:jc w:val="center"/>
        <w:rPr>
          <w:rFonts w:eastAsia="楷体_GB2312"/>
          <w:b/>
          <w:sz w:val="72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rPr>
          <w:rFonts w:eastAsia="楷体_GB2312"/>
          <w:b/>
          <w:sz w:val="24"/>
          <w:szCs w:val="20"/>
        </w:rPr>
      </w:pPr>
    </w:p>
    <w:p>
      <w:pPr>
        <w:rPr>
          <w:rFonts w:eastAsia="楷体_GB2312"/>
          <w:b/>
          <w:sz w:val="24"/>
          <w:szCs w:val="20"/>
        </w:rPr>
      </w:pPr>
    </w:p>
    <w:p>
      <w:pPr>
        <w:rPr>
          <w:rFonts w:eastAsia="楷体_GB2312"/>
          <w:b/>
          <w:sz w:val="24"/>
          <w:szCs w:val="20"/>
        </w:rPr>
      </w:pPr>
    </w:p>
    <w:p>
      <w:pPr>
        <w:rPr>
          <w:rFonts w:eastAsia="楷体_GB2312"/>
          <w:b/>
          <w:sz w:val="24"/>
          <w:szCs w:val="20"/>
        </w:rPr>
      </w:pPr>
    </w:p>
    <w:p>
      <w:pPr>
        <w:spacing w:line="900" w:lineRule="exact"/>
        <w:ind w:firstLine="960" w:firstLineChars="300"/>
        <w:jc w:val="left"/>
        <w:rPr>
          <w:rFonts w:ascii="华文仿宋" w:hAnsi="华文仿宋" w:eastAsia="华文仿宋"/>
          <w:sz w:val="32"/>
          <w:szCs w:val="32"/>
          <w:u w:val="single"/>
        </w:rPr>
      </w:pPr>
      <w:r>
        <w:rPr>
          <w:rFonts w:hint="eastAsia" w:ascii="华文仿宋" w:hAnsi="华文仿宋" w:eastAsia="华文仿宋"/>
          <w:sz w:val="32"/>
          <w:szCs w:val="32"/>
        </w:rPr>
        <w:t>申报</w:t>
      </w:r>
      <w:r>
        <w:rPr>
          <w:rFonts w:ascii="华文仿宋" w:hAnsi="华文仿宋" w:eastAsia="华文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160655</wp:posOffset>
                </wp:positionV>
                <wp:extent cx="635" cy="635"/>
                <wp:effectExtent l="0" t="0" r="18415" b="18415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margin-left:183.75pt;margin-top:12.65pt;height:0.05pt;width:0.05pt;z-index:251659264;mso-width-relative:page;mso-height-relative:page;" filled="f" stroked="t" coordsize="21600,21600" o:allowincell="f" o:gfxdata="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A1mH111gAAAAkBAAAPAAAAAAAAAAEAIAAAADgAAABkcnMvZG93&#10;bnJldi54bWxQSwECFAAUAAAACACHTuJAZqykvLMBAAB9AwAADgAAAAAAAAABACAAAAA7AQAAZHJz&#10;L2Uyb0RvYy54bWxQSwUGAAAAAAYABgBZAQAAY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仿宋" w:hAnsi="华文仿宋" w:eastAsia="华文仿宋"/>
          <w:sz w:val="32"/>
          <w:szCs w:val="32"/>
        </w:rPr>
        <w:t>单位名称（盖章）：</w:t>
      </w:r>
      <w:r>
        <w:rPr>
          <w:rFonts w:hint="eastAsia" w:ascii="华文仿宋" w:hAnsi="华文仿宋" w:eastAsia="华文仿宋"/>
          <w:sz w:val="32"/>
          <w:szCs w:val="32"/>
          <w:u w:val="single"/>
        </w:rPr>
        <w:t xml:space="preserve">                       </w:t>
      </w: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填报日期：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年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 月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 日</w:t>
      </w:r>
    </w:p>
    <w:p>
      <w:pPr>
        <w:spacing w:line="360" w:lineRule="auto"/>
        <w:rPr>
          <w:rFonts w:ascii="黑体" w:eastAsia="黑体"/>
          <w:spacing w:val="20"/>
          <w:szCs w:val="20"/>
        </w:rPr>
      </w:pPr>
    </w:p>
    <w:p>
      <w:pPr>
        <w:spacing w:line="360" w:lineRule="auto"/>
        <w:rPr>
          <w:rFonts w:ascii="黑体" w:eastAsia="黑体"/>
          <w:spacing w:val="20"/>
          <w:szCs w:val="20"/>
        </w:rPr>
      </w:pPr>
    </w:p>
    <w:p>
      <w:pPr>
        <w:adjustRightInd w:val="0"/>
        <w:snapToGrid w:val="0"/>
        <w:spacing w:line="360" w:lineRule="auto"/>
        <w:rPr>
          <w:rFonts w:eastAsia="仿宋"/>
          <w:sz w:val="36"/>
          <w:szCs w:val="36"/>
        </w:rPr>
        <w:sectPr>
          <w:headerReference r:id="rId3" w:type="firs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adjustRightInd w:val="0"/>
        <w:snapToGrid w:val="0"/>
        <w:spacing w:line="560" w:lineRule="exact"/>
        <w:jc w:val="center"/>
        <w:rPr>
          <w:rFonts w:ascii="方正小标宋简体" w:hAnsi="黑体" w:eastAsia="方正小标宋简体"/>
          <w:sz w:val="40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方正小标宋简体" w:hAnsi="黑体" w:eastAsia="方正小标宋简体"/>
          <w:sz w:val="40"/>
          <w:szCs w:val="36"/>
        </w:rPr>
      </w:pPr>
      <w:r>
        <w:rPr>
          <w:rFonts w:hint="eastAsia" w:ascii="方正小标宋简体" w:hAnsi="黑体" w:eastAsia="方正小标宋简体"/>
          <w:sz w:val="44"/>
          <w:szCs w:val="44"/>
        </w:rPr>
        <w:t>服务方案编制要点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560" w:lineRule="exact"/>
        <w:jc w:val="center"/>
        <w:textAlignment w:val="auto"/>
        <w:rPr>
          <w:rFonts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6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一、项目理解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根据《财政部 工业和信息化部关于支持“专精特新”中小企业高质量发展的通知》及服务经验，论述对专精特新 “小巨人”服务工作的相关政策理解、工作要求理解；论述对新一代信息技术、集成电路、医药健康、智能制造、新能源汽车等高精尖产业（必须包含制造业）的理解；论述支持专精特新“小巨人”企业发展的相关主管部门政策制定、服务理念、服务思路等方面的理解；论述对企业服务工作的理解，从企业发展、产业发展、服务发展等维度，论述对专精特新“小巨人”企业的服务内容、服务方式、服务目标、服务效果的理解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6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二、公共示范平台工作基础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1.申报单位基本情况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包括经营范围、单位简介、管理制度、服务场地面积、政府委托服务经验、产业研究经验、财务情况、管理体系认证情况等。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2.省级（或国家级）中小企业公共示范平台（以下简称公共示范平台）认定情况。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3.申报单位服务能力及业绩情况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描述服务北京市中小企业情况，包括但不限于开展服务内容、总体情况、服务类别、服务人员情况、服务组织能力（近两年各类创业活动组织场次，活动类别）、服务企业数量、服务资源（专家资源、合作服务机构资源）、服务影响力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4.信息化服务能力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 xml:space="preserve">线上信息系统具有集聚资源，为国家小巨人企业提供服务的服务能力。对应各服务功能的信息化建设方案。现有线上信息系统知识库建设情况。  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5.公共示范平台历史服务北京市“专精特新”中小企业情况。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6.公共示范平台服务重点“小巨人”企业优势。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6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三、重点“小巨人”企业服务需求分析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1.北京市国家级专精特新“小巨人”企业整体情况分析。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分析北京市国家级专精特新“小巨人”企业整体情况，内容包括但不限于企业所涵盖的“高精尖”产业领域分布、产业导向、专业化程度、创新能力、经营管理情况、上市情况、融资情况、成长性等。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2.小巨人企业服务需求分析。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分析北京市国家级专精特新“小巨人”企业经营发展中遇到的困难及服务需求，结合实际提出针对性解决思路。结合企业实际需求，明确专精特新“小巨人”企业需要的服务措施类别。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6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四</w:t>
      </w:r>
      <w:r>
        <w:rPr>
          <w:rFonts w:ascii="黑体" w:hAnsi="黑体" w:eastAsia="黑体" w:cs="Times New Roman"/>
          <w:b w:val="0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重点“小巨人”企业服务措施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1.具体服务措施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集聚技术、资金和人才等创新资源，为重点“小巨人”企业提供点对点的针对性强、可取得明显成效的近期帮扶和长期推动具体服务类别及对应举措，结合实际可包括：创新能力提升行动，融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"/>
        </w:rPr>
        <w:t>资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解决方案，创新堵点服务解决清单等；以点带面，为北京市国家级专精特新“小巨人”企业服务，示范带动并建立健全重点企业公共服务体系。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具体服务类别须至少包括下列其中一项：技术创新服务、上市辅导等融资服务、创新成果转化与应用服务、数字化网络化智能化服务、知识产权服务、上云用云服务、工业设计服务等。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对应服务类别，论述具体服务措施。服务措施须列明主要服务产品方案，包括但不限于服务产品名称、服务具体内容、服务工作流程、服务方式、服务目标、服务成效等。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2.沟通汇报方案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面向政府端，深入理解政府服务企业要求，充分借助政府服务优势，为企业提供服务，同时提出向政府报送服务进展等沟通、汇报方案。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6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五</w:t>
      </w:r>
      <w:r>
        <w:rPr>
          <w:rFonts w:ascii="黑体" w:hAnsi="黑体" w:eastAsia="黑体" w:cs="Times New Roman"/>
          <w:b w:val="0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分年度服务工作目标与实施计划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1.分年度服务工作目标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集聚创新资源，点对点服务重点“小巨人”企业，以及服务北京市国家级专精特新“小巨人”企业的预期目标及成效。对照服务内容列明起始年，2021年底、2022年底达到的服务绩效目标。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2.分年度工作实施计划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分年度服务实施计划，如服务方式、服务方法、服务频次、实施的服务内容等。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6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六、政府服务方案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60" w:lineRule="exact"/>
        <w:ind w:firstLine="640" w:firstLineChars="200"/>
        <w:textAlignment w:val="auto"/>
        <w:outlineLvl w:val="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论述申报单位的政府服务经验。同时结合《通知》要求和申报的服务方案，聚焦重点“小巨人”企业支持工作，提出支撑政府服务工作思路，协助政府搭建重点“小巨人”企业的管理总体架构，建立及时有效的重点企业跟踪网络，采取切实有效的措施做好重点企业日常联络沟通、数据采集和服务对接。建立定期研究分析机制，开展重点“小巨人”企业发展情况研究，定期形成成果文件为政府部门校准政策措施、服务产品输出提供有效支撑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6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七</w:t>
      </w:r>
      <w:r>
        <w:rPr>
          <w:rFonts w:ascii="黑体" w:hAnsi="黑体" w:eastAsia="黑体" w:cs="Times New Roman"/>
          <w:b w:val="0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组织管理与保障措施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1.组织管理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介绍申报单位服务重点“小巨人”企业的整体组织安排情况，如组织机构、人员配备、内控机制等。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2.运营服务保障机制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介绍申报服务单位服务重点“小巨人”企业的运营服务保障机制。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Times New Roman" w:eastAsia="仿宋_GB2312" w:cs="Times New Roman"/>
          <w:kern w:val="0"/>
          <w:sz w:val="32"/>
          <w:szCs w:val="32"/>
        </w:rPr>
      </w:pPr>
    </w:p>
    <w:sectPr>
      <w:footerReference r:id="rId5" w:type="default"/>
      <w:pgSz w:w="11906" w:h="16838"/>
      <w:pgMar w:top="1440" w:right="1286" w:bottom="1440" w:left="16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altName w:val="方正宋体S-超大字符集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思源黑体 CN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思源黑体 CN">
    <w:panose1 w:val="020B0600000000000000"/>
    <w:charset w:val="86"/>
    <w:family w:val="auto"/>
    <w:pitch w:val="default"/>
    <w:sig w:usb0="20000003" w:usb1="2ADF3C10" w:usb2="00000016" w:usb3="00000000" w:csb0="60060107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0"/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0"/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63"/>
    <w:rsid w:val="00005919"/>
    <w:rsid w:val="00011D4A"/>
    <w:rsid w:val="00013070"/>
    <w:rsid w:val="00015A83"/>
    <w:rsid w:val="000251F8"/>
    <w:rsid w:val="00027448"/>
    <w:rsid w:val="00032955"/>
    <w:rsid w:val="00042917"/>
    <w:rsid w:val="00044F16"/>
    <w:rsid w:val="00062CED"/>
    <w:rsid w:val="00070F42"/>
    <w:rsid w:val="000821EC"/>
    <w:rsid w:val="0009005F"/>
    <w:rsid w:val="00090530"/>
    <w:rsid w:val="000A43DB"/>
    <w:rsid w:val="000B7478"/>
    <w:rsid w:val="000D25D2"/>
    <w:rsid w:val="000D678D"/>
    <w:rsid w:val="000F36D1"/>
    <w:rsid w:val="001002C8"/>
    <w:rsid w:val="001074D7"/>
    <w:rsid w:val="00107DE3"/>
    <w:rsid w:val="00121DEF"/>
    <w:rsid w:val="001274B1"/>
    <w:rsid w:val="001278D2"/>
    <w:rsid w:val="00130096"/>
    <w:rsid w:val="00142A6F"/>
    <w:rsid w:val="001509FC"/>
    <w:rsid w:val="00174135"/>
    <w:rsid w:val="001977DF"/>
    <w:rsid w:val="001B2144"/>
    <w:rsid w:val="001B38C7"/>
    <w:rsid w:val="001B6141"/>
    <w:rsid w:val="001D3FE3"/>
    <w:rsid w:val="001F7D4B"/>
    <w:rsid w:val="0020263C"/>
    <w:rsid w:val="00207A61"/>
    <w:rsid w:val="00220BC0"/>
    <w:rsid w:val="002358BC"/>
    <w:rsid w:val="002A3F7E"/>
    <w:rsid w:val="002A5AE5"/>
    <w:rsid w:val="002B65C5"/>
    <w:rsid w:val="002D44BE"/>
    <w:rsid w:val="002E775F"/>
    <w:rsid w:val="003000FE"/>
    <w:rsid w:val="0030587A"/>
    <w:rsid w:val="00306C73"/>
    <w:rsid w:val="00322351"/>
    <w:rsid w:val="0035413D"/>
    <w:rsid w:val="00362026"/>
    <w:rsid w:val="00381351"/>
    <w:rsid w:val="00382393"/>
    <w:rsid w:val="0039199F"/>
    <w:rsid w:val="0039221E"/>
    <w:rsid w:val="003A3FE3"/>
    <w:rsid w:val="003A4398"/>
    <w:rsid w:val="003C7DCD"/>
    <w:rsid w:val="003E76CD"/>
    <w:rsid w:val="003F1D14"/>
    <w:rsid w:val="003F393E"/>
    <w:rsid w:val="00410B0C"/>
    <w:rsid w:val="00414942"/>
    <w:rsid w:val="0042283F"/>
    <w:rsid w:val="00431140"/>
    <w:rsid w:val="00445FB8"/>
    <w:rsid w:val="0045575D"/>
    <w:rsid w:val="00462F2D"/>
    <w:rsid w:val="00463543"/>
    <w:rsid w:val="00471E27"/>
    <w:rsid w:val="00473C23"/>
    <w:rsid w:val="004D3EC8"/>
    <w:rsid w:val="004E24FC"/>
    <w:rsid w:val="004F03BC"/>
    <w:rsid w:val="004F5363"/>
    <w:rsid w:val="004F6A79"/>
    <w:rsid w:val="00500798"/>
    <w:rsid w:val="00522D0A"/>
    <w:rsid w:val="00530798"/>
    <w:rsid w:val="0053564B"/>
    <w:rsid w:val="00535CC9"/>
    <w:rsid w:val="00554CC5"/>
    <w:rsid w:val="00555FE9"/>
    <w:rsid w:val="005C51E4"/>
    <w:rsid w:val="005F38DD"/>
    <w:rsid w:val="005F5CFE"/>
    <w:rsid w:val="006024FC"/>
    <w:rsid w:val="00605D1D"/>
    <w:rsid w:val="00611244"/>
    <w:rsid w:val="00613223"/>
    <w:rsid w:val="00643DED"/>
    <w:rsid w:val="00646EB6"/>
    <w:rsid w:val="006521A1"/>
    <w:rsid w:val="00662D70"/>
    <w:rsid w:val="00663345"/>
    <w:rsid w:val="006716C7"/>
    <w:rsid w:val="00684DDA"/>
    <w:rsid w:val="006A5E5F"/>
    <w:rsid w:val="006C2A91"/>
    <w:rsid w:val="006D57B0"/>
    <w:rsid w:val="00701288"/>
    <w:rsid w:val="0070226F"/>
    <w:rsid w:val="00723E92"/>
    <w:rsid w:val="00751EA1"/>
    <w:rsid w:val="00757EAC"/>
    <w:rsid w:val="007646D1"/>
    <w:rsid w:val="00770B87"/>
    <w:rsid w:val="0078181C"/>
    <w:rsid w:val="0078747A"/>
    <w:rsid w:val="00795B6B"/>
    <w:rsid w:val="00796404"/>
    <w:rsid w:val="007A2415"/>
    <w:rsid w:val="007B146D"/>
    <w:rsid w:val="007E66CB"/>
    <w:rsid w:val="007E674C"/>
    <w:rsid w:val="007F3EBB"/>
    <w:rsid w:val="00800F9B"/>
    <w:rsid w:val="00804B39"/>
    <w:rsid w:val="00816689"/>
    <w:rsid w:val="008246AB"/>
    <w:rsid w:val="00840114"/>
    <w:rsid w:val="00840DA4"/>
    <w:rsid w:val="00843F6F"/>
    <w:rsid w:val="0086172F"/>
    <w:rsid w:val="00871810"/>
    <w:rsid w:val="0087492B"/>
    <w:rsid w:val="008A073A"/>
    <w:rsid w:val="008D7EAD"/>
    <w:rsid w:val="008E143A"/>
    <w:rsid w:val="008F08F1"/>
    <w:rsid w:val="008F2768"/>
    <w:rsid w:val="00904D3C"/>
    <w:rsid w:val="00914236"/>
    <w:rsid w:val="00927938"/>
    <w:rsid w:val="009356A0"/>
    <w:rsid w:val="00943549"/>
    <w:rsid w:val="00944173"/>
    <w:rsid w:val="009954AB"/>
    <w:rsid w:val="009A28C6"/>
    <w:rsid w:val="009B3A37"/>
    <w:rsid w:val="009D25EB"/>
    <w:rsid w:val="009D4EEE"/>
    <w:rsid w:val="00A038AE"/>
    <w:rsid w:val="00A04E30"/>
    <w:rsid w:val="00A16D5E"/>
    <w:rsid w:val="00A23651"/>
    <w:rsid w:val="00A32532"/>
    <w:rsid w:val="00A53850"/>
    <w:rsid w:val="00A57DC9"/>
    <w:rsid w:val="00A82B2A"/>
    <w:rsid w:val="00A8542B"/>
    <w:rsid w:val="00A8579A"/>
    <w:rsid w:val="00A94921"/>
    <w:rsid w:val="00A970AD"/>
    <w:rsid w:val="00AB473A"/>
    <w:rsid w:val="00AC7B0D"/>
    <w:rsid w:val="00AE3E45"/>
    <w:rsid w:val="00B072BA"/>
    <w:rsid w:val="00B13B9D"/>
    <w:rsid w:val="00B35F8B"/>
    <w:rsid w:val="00B4224E"/>
    <w:rsid w:val="00B71543"/>
    <w:rsid w:val="00B75C52"/>
    <w:rsid w:val="00B82F9E"/>
    <w:rsid w:val="00BA12BE"/>
    <w:rsid w:val="00BA73D2"/>
    <w:rsid w:val="00BB2782"/>
    <w:rsid w:val="00BB3440"/>
    <w:rsid w:val="00BB5F4C"/>
    <w:rsid w:val="00BC785D"/>
    <w:rsid w:val="00BD7C76"/>
    <w:rsid w:val="00BE3E20"/>
    <w:rsid w:val="00BF4167"/>
    <w:rsid w:val="00BF5E3D"/>
    <w:rsid w:val="00C140FB"/>
    <w:rsid w:val="00C26059"/>
    <w:rsid w:val="00C3701D"/>
    <w:rsid w:val="00C40C12"/>
    <w:rsid w:val="00C4317B"/>
    <w:rsid w:val="00C52EFD"/>
    <w:rsid w:val="00C72949"/>
    <w:rsid w:val="00C9693E"/>
    <w:rsid w:val="00CA03CA"/>
    <w:rsid w:val="00CA4395"/>
    <w:rsid w:val="00CC627F"/>
    <w:rsid w:val="00CE1D30"/>
    <w:rsid w:val="00CE51CD"/>
    <w:rsid w:val="00CF4013"/>
    <w:rsid w:val="00CF466E"/>
    <w:rsid w:val="00D05C9C"/>
    <w:rsid w:val="00D15ED7"/>
    <w:rsid w:val="00D40D68"/>
    <w:rsid w:val="00D412F3"/>
    <w:rsid w:val="00D53A67"/>
    <w:rsid w:val="00D61D67"/>
    <w:rsid w:val="00D9194D"/>
    <w:rsid w:val="00DA0F42"/>
    <w:rsid w:val="00DB2B45"/>
    <w:rsid w:val="00DB5A3A"/>
    <w:rsid w:val="00DC005B"/>
    <w:rsid w:val="00DF1168"/>
    <w:rsid w:val="00E0709A"/>
    <w:rsid w:val="00E12088"/>
    <w:rsid w:val="00E1260D"/>
    <w:rsid w:val="00E67998"/>
    <w:rsid w:val="00E86DDC"/>
    <w:rsid w:val="00E97662"/>
    <w:rsid w:val="00EA572D"/>
    <w:rsid w:val="00EC6B92"/>
    <w:rsid w:val="00ED5F91"/>
    <w:rsid w:val="00EE2977"/>
    <w:rsid w:val="00EF4F60"/>
    <w:rsid w:val="00F02CBF"/>
    <w:rsid w:val="00F1676A"/>
    <w:rsid w:val="00F243CF"/>
    <w:rsid w:val="00F272A5"/>
    <w:rsid w:val="00F62E0A"/>
    <w:rsid w:val="00F73691"/>
    <w:rsid w:val="00F75D15"/>
    <w:rsid w:val="00F865F4"/>
    <w:rsid w:val="00F86B2E"/>
    <w:rsid w:val="00FC4488"/>
    <w:rsid w:val="00FC4B25"/>
    <w:rsid w:val="00FC5AAD"/>
    <w:rsid w:val="00FC6774"/>
    <w:rsid w:val="00FE0003"/>
    <w:rsid w:val="00FE0702"/>
    <w:rsid w:val="00FE0BD9"/>
    <w:rsid w:val="00FE382F"/>
    <w:rsid w:val="00FE565A"/>
    <w:rsid w:val="00FE7A93"/>
    <w:rsid w:val="0CCC5B7E"/>
    <w:rsid w:val="10D07A04"/>
    <w:rsid w:val="27B952B8"/>
    <w:rsid w:val="2C223A06"/>
    <w:rsid w:val="2DFD31E6"/>
    <w:rsid w:val="302C6548"/>
    <w:rsid w:val="316F7999"/>
    <w:rsid w:val="347767BD"/>
    <w:rsid w:val="3BCF6C01"/>
    <w:rsid w:val="432D6DBF"/>
    <w:rsid w:val="47627093"/>
    <w:rsid w:val="47FF90D5"/>
    <w:rsid w:val="4E8E2EB6"/>
    <w:rsid w:val="4F2E461F"/>
    <w:rsid w:val="53016FC9"/>
    <w:rsid w:val="540A2A98"/>
    <w:rsid w:val="5F7525B1"/>
    <w:rsid w:val="61802019"/>
    <w:rsid w:val="623C4CED"/>
    <w:rsid w:val="670F78CA"/>
    <w:rsid w:val="68F76FFB"/>
    <w:rsid w:val="737914D8"/>
    <w:rsid w:val="7503162A"/>
    <w:rsid w:val="BD65AA1D"/>
    <w:rsid w:val="CFBFA262"/>
    <w:rsid w:val="DF4DF6FC"/>
    <w:rsid w:val="DFFDD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adjustRightInd w:val="0"/>
      <w:snapToGrid w:val="0"/>
      <w:spacing w:beforeLines="100" w:afterLines="50" w:line="360" w:lineRule="auto"/>
      <w:textAlignment w:val="baseline"/>
      <w:outlineLvl w:val="2"/>
    </w:pPr>
    <w:rPr>
      <w:rFonts w:ascii="仿宋_GB2312" w:hAnsi="宋体" w:eastAsia="仿宋_GB2312"/>
      <w:b/>
      <w:bCs/>
      <w:color w:val="000000"/>
      <w:sz w:val="32"/>
      <w:szCs w:val="3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7"/>
    <w:unhideWhenUsed/>
    <w:qFormat/>
    <w:uiPriority w:val="99"/>
    <w:rPr>
      <w:rFonts w:ascii="宋体"/>
      <w:sz w:val="18"/>
      <w:szCs w:val="18"/>
    </w:rPr>
  </w:style>
  <w:style w:type="paragraph" w:styleId="4">
    <w:name w:val="Body Text"/>
    <w:basedOn w:val="1"/>
    <w:unhideWhenUsed/>
    <w:qFormat/>
    <w:uiPriority w:val="99"/>
    <w:rPr>
      <w:rFonts w:ascii="华文新魏" w:hAnsi="Times New Roman" w:eastAsia="华文新魏"/>
      <w:sz w:val="36"/>
      <w:szCs w:val="24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Times New Roman" w:hAnsi="Times New Roman" w:eastAsia="仿宋_GB2312" w:cs="Times New Roman"/>
      <w:sz w:val="32"/>
    </w:rPr>
  </w:style>
  <w:style w:type="character" w:customStyle="1" w:styleId="12">
    <w:name w:val="页眉 字符"/>
    <w:basedOn w:val="8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3">
    <w:name w:val="页脚 字符"/>
    <w:basedOn w:val="8"/>
    <w:link w:val="6"/>
    <w:qFormat/>
    <w:uiPriority w:val="99"/>
    <w:rPr>
      <w:rFonts w:ascii="Calibri" w:hAnsi="Calibri" w:eastAsia="宋体" w:cs="黑体"/>
      <w:sz w:val="18"/>
      <w:szCs w:val="18"/>
    </w:rPr>
  </w:style>
  <w:style w:type="paragraph" w:customStyle="1" w:styleId="14">
    <w:name w:val="列出段落2"/>
    <w:basedOn w:val="1"/>
    <w:qFormat/>
    <w:uiPriority w:val="34"/>
    <w:pPr>
      <w:ind w:firstLine="420" w:firstLineChars="200"/>
    </w:pPr>
  </w:style>
  <w:style w:type="paragraph" w:customStyle="1" w:styleId="15">
    <w:name w:val="样式1"/>
    <w:basedOn w:val="1"/>
    <w:qFormat/>
    <w:uiPriority w:val="0"/>
    <w:pPr>
      <w:adjustRightInd w:val="0"/>
      <w:snapToGrid w:val="0"/>
      <w:spacing w:beforeLines="50"/>
      <w:jc w:val="left"/>
    </w:pPr>
    <w:rPr>
      <w:rFonts w:ascii="宋体" w:hAnsi="宋体"/>
      <w:snapToGrid w:val="0"/>
      <w:kern w:val="0"/>
      <w:szCs w:val="30"/>
    </w:rPr>
  </w:style>
  <w:style w:type="character" w:customStyle="1" w:styleId="16">
    <w:name w:val="批注框文本 字符"/>
    <w:basedOn w:val="8"/>
    <w:link w:val="5"/>
    <w:semiHidden/>
    <w:qFormat/>
    <w:uiPriority w:val="99"/>
    <w:rPr>
      <w:rFonts w:ascii="Calibri" w:hAnsi="Calibri" w:cs="黑体"/>
      <w:kern w:val="2"/>
      <w:sz w:val="18"/>
      <w:szCs w:val="18"/>
    </w:rPr>
  </w:style>
  <w:style w:type="character" w:customStyle="1" w:styleId="17">
    <w:name w:val="文档结构图 字符"/>
    <w:basedOn w:val="8"/>
    <w:link w:val="3"/>
    <w:semiHidden/>
    <w:qFormat/>
    <w:uiPriority w:val="99"/>
    <w:rPr>
      <w:rFonts w:ascii="宋体" w:hAnsi="Calibri" w:cs="黑体"/>
      <w:kern w:val="2"/>
      <w:sz w:val="18"/>
      <w:szCs w:val="18"/>
    </w:rPr>
  </w:style>
  <w:style w:type="paragraph" w:styleId="1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8FAF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277</Words>
  <Characters>1580</Characters>
  <Lines>13</Lines>
  <Paragraphs>3</Paragraphs>
  <TotalTime>10</TotalTime>
  <ScaleCrop>false</ScaleCrop>
  <LinksUpToDate>false</LinksUpToDate>
  <CharactersWithSpaces>1854</CharactersWithSpaces>
  <Application>WPS Office_10.1.0.7448_F1E327BC-269C-435d-A152-05C5408002CA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2021-02-26T18:34:00Z</dcterms:created>
  <dc:creator>xiaofu</dc:creator>
  <cp:lastModifiedBy>admin</cp:lastModifiedBy>
  <dcterms:modified xsi:type="dcterms:W3CDTF">2021-02-27T13:59:07Z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2052-10.1.0.7448</vt:lpwstr>
  </property>
</Properties>
</file>