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/>
        </w:rPr>
      </w:pPr>
      <w:r>
        <w:rPr>
          <w:rFonts w:hint="eastAsia" w:ascii="黑体" w:hAnsi="黑体" w:eastAsia="黑体" w:cs="黑体"/>
          <w:sz w:val="36"/>
          <w:szCs w:val="36"/>
        </w:rPr>
        <w:t>附件1</w:t>
      </w:r>
    </w:p>
    <w:p>
      <w:pPr>
        <w:pStyle w:val="3"/>
        <w:spacing w:line="240" w:lineRule="auto"/>
        <w:jc w:val="center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Times New Roman" w:hAnsi="Times New Roman"/>
        </w:rPr>
        <w:t>资源环境领域项目申报指南</w:t>
      </w:r>
    </w:p>
    <w:p>
      <w:pPr>
        <w:pStyle w:val="6"/>
        <w:ind w:firstLine="643"/>
        <w:rPr>
          <w:rFonts w:ascii="仿宋_GB2312" w:hAnsi="仿宋_GB2312" w:eastAsia="仿宋_GB2312" w:cs="仿宋_GB2312"/>
          <w:b/>
          <w:bCs w:val="0"/>
        </w:rPr>
      </w:pPr>
      <w:r>
        <w:rPr>
          <w:rFonts w:hint="eastAsia" w:ascii="仿宋_GB2312" w:hAnsi="仿宋_GB2312" w:eastAsia="仿宋_GB2312" w:cs="仿宋_GB2312"/>
          <w:b/>
          <w:bCs w:val="0"/>
        </w:rPr>
        <w:t>（一）总体目标</w:t>
      </w:r>
    </w:p>
    <w:p>
      <w:pPr>
        <w:spacing w:line="540" w:lineRule="exact"/>
        <w:ind w:firstLine="64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针对我市社会经济发展中面临的重要生态环境问题，按照部署前瞻生态环境技术、形成可竞争环保产业、惠及日益迫切民生需求的思路，围绕美丽天津建设中环境质量持续改善的核心任务，推动技术创新需求与解决重大生态环境问题的融合,突出精准、科学、协同治污，加快推进生态环境领域治理体系和治理能力现代化，形成面向现实与未来、适应天津市社会经济发展基础和资源环境禀赋条件、满足多主体需求、具有内生性发展能力的生态环境科技创新体系，为我市生态环境质量改善、环境污染控制和环保产业发展提供科技支撑。</w:t>
      </w:r>
    </w:p>
    <w:p>
      <w:pPr>
        <w:pStyle w:val="6"/>
        <w:spacing w:line="540" w:lineRule="exact"/>
        <w:ind w:firstLine="643"/>
        <w:rPr>
          <w:rFonts w:ascii="仿宋_GB2312" w:hAnsi="仿宋_GB2312" w:eastAsia="仿宋_GB2312" w:cs="仿宋_GB2312"/>
          <w:b/>
          <w:bCs w:val="0"/>
        </w:rPr>
      </w:pPr>
      <w:r>
        <w:rPr>
          <w:rFonts w:hint="eastAsia" w:ascii="仿宋_GB2312" w:hAnsi="仿宋_GB2312" w:eastAsia="仿宋_GB2312" w:cs="仿宋_GB2312"/>
          <w:b/>
          <w:bCs w:val="0"/>
        </w:rPr>
        <w:t>（二）征集重点方向</w:t>
      </w:r>
    </w:p>
    <w:p>
      <w:pPr>
        <w:pStyle w:val="13"/>
        <w:spacing w:line="540" w:lineRule="exact"/>
        <w:ind w:firstLine="643"/>
        <w:outlineLvl w:val="1"/>
        <w:rPr>
          <w:rFonts w:ascii="仿宋_GB2312" w:hAnsi="仿宋_GB2312" w:cs="仿宋_GB2312"/>
          <w:b/>
          <w:bCs/>
          <w:szCs w:val="32"/>
        </w:rPr>
      </w:pPr>
      <w:r>
        <w:rPr>
          <w:rFonts w:hint="eastAsia" w:ascii="仿宋_GB2312" w:hAnsi="仿宋_GB2312" w:cs="仿宋_GB2312"/>
          <w:b/>
          <w:bCs/>
          <w:szCs w:val="32"/>
        </w:rPr>
        <w:t>1.大气污染物协同控制及精细化管理技术研发及示范</w:t>
      </w:r>
    </w:p>
    <w:p>
      <w:pPr>
        <w:pStyle w:val="13"/>
        <w:spacing w:line="540" w:lineRule="exact"/>
        <w:ind w:firstLine="640"/>
        <w:rPr>
          <w:rFonts w:ascii="仿宋_GB2312" w:hAnsi="仿宋_GB2312" w:cs="仿宋_GB2312"/>
          <w:bCs/>
          <w:szCs w:val="32"/>
        </w:rPr>
      </w:pPr>
      <w:r>
        <w:rPr>
          <w:rFonts w:hint="eastAsia" w:ascii="仿宋_GB2312" w:hAnsi="仿宋_GB2312" w:cs="仿宋_GB2312"/>
          <w:bCs/>
          <w:szCs w:val="32"/>
        </w:rPr>
        <w:t>构建大气污染精细认知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高效治理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科学监管的细颗粒物和光化学污染协同防治技术体系，开展</w:t>
      </w:r>
      <w:r>
        <w:rPr>
          <w:rFonts w:ascii="仿宋_GB2312" w:hAnsi="仿宋_GB2312" w:cs="仿宋_GB2312"/>
          <w:bCs/>
          <w:szCs w:val="32"/>
        </w:rPr>
        <w:t>PM2.5</w:t>
      </w:r>
      <w:r>
        <w:rPr>
          <w:rFonts w:hint="eastAsia" w:ascii="仿宋_GB2312" w:hAnsi="仿宋_GB2312" w:cs="仿宋_GB2312"/>
          <w:bCs/>
          <w:szCs w:val="32"/>
        </w:rPr>
        <w:t>和</w:t>
      </w:r>
      <w:r>
        <w:rPr>
          <w:rFonts w:ascii="仿宋_GB2312" w:hAnsi="仿宋_GB2312" w:cs="仿宋_GB2312"/>
          <w:bCs/>
          <w:szCs w:val="32"/>
        </w:rPr>
        <w:t>O</w:t>
      </w:r>
      <w:r>
        <w:rPr>
          <w:rFonts w:ascii="仿宋_GB2312" w:hAnsi="仿宋_GB2312" w:cs="仿宋_GB2312"/>
          <w:bCs/>
          <w:szCs w:val="32"/>
          <w:vertAlign w:val="subscript"/>
        </w:rPr>
        <w:t>3</w:t>
      </w:r>
      <w:r>
        <w:rPr>
          <w:rFonts w:hint="eastAsia" w:ascii="仿宋_GB2312" w:hAnsi="仿宋_GB2312" w:cs="仿宋_GB2312"/>
          <w:bCs/>
          <w:szCs w:val="32"/>
        </w:rPr>
        <w:t>定量源解析，开发</w:t>
      </w:r>
      <w:r>
        <w:rPr>
          <w:rFonts w:ascii="仿宋_GB2312" w:hAnsi="仿宋_GB2312" w:cs="仿宋_GB2312"/>
          <w:bCs/>
          <w:szCs w:val="32"/>
        </w:rPr>
        <w:t>PM2.5</w:t>
      </w:r>
      <w:r>
        <w:rPr>
          <w:rFonts w:hint="eastAsia" w:ascii="仿宋_GB2312" w:hAnsi="仿宋_GB2312" w:cs="仿宋_GB2312"/>
          <w:bCs/>
          <w:szCs w:val="32"/>
        </w:rPr>
        <w:t>和</w:t>
      </w:r>
      <w:r>
        <w:rPr>
          <w:rFonts w:ascii="仿宋_GB2312" w:hAnsi="仿宋_GB2312" w:cs="仿宋_GB2312"/>
          <w:bCs/>
          <w:szCs w:val="32"/>
        </w:rPr>
        <w:t>O</w:t>
      </w:r>
      <w:r>
        <w:rPr>
          <w:rFonts w:ascii="仿宋_GB2312" w:hAnsi="仿宋_GB2312" w:cs="仿宋_GB2312"/>
          <w:bCs/>
          <w:szCs w:val="32"/>
          <w:vertAlign w:val="subscript"/>
        </w:rPr>
        <w:t>3</w:t>
      </w:r>
      <w:r>
        <w:rPr>
          <w:rFonts w:hint="eastAsia" w:ascii="仿宋_GB2312" w:hAnsi="仿宋_GB2312" w:cs="仿宋_GB2312"/>
          <w:bCs/>
          <w:szCs w:val="32"/>
        </w:rPr>
        <w:t>高精准长时效预测预报系统，开展精细化管控技术和典型工业园区</w:t>
      </w:r>
      <w:r>
        <w:rPr>
          <w:rFonts w:ascii="仿宋_GB2312" w:hAnsi="仿宋_GB2312" w:cs="仿宋_GB2312"/>
          <w:bCs/>
          <w:szCs w:val="32"/>
        </w:rPr>
        <w:t>PM2.5</w:t>
      </w:r>
      <w:r>
        <w:rPr>
          <w:rFonts w:hint="eastAsia" w:ascii="仿宋_GB2312" w:hAnsi="仿宋_GB2312" w:cs="仿宋_GB2312"/>
          <w:bCs/>
          <w:szCs w:val="32"/>
        </w:rPr>
        <w:t>、</w:t>
      </w:r>
      <w:r>
        <w:rPr>
          <w:rFonts w:ascii="仿宋_GB2312" w:hAnsi="仿宋_GB2312" w:cs="仿宋_GB2312"/>
          <w:bCs/>
          <w:szCs w:val="32"/>
        </w:rPr>
        <w:t>O</w:t>
      </w:r>
      <w:r>
        <w:rPr>
          <w:rFonts w:ascii="仿宋_GB2312" w:hAnsi="仿宋_GB2312" w:cs="仿宋_GB2312"/>
          <w:bCs/>
          <w:szCs w:val="32"/>
          <w:vertAlign w:val="subscript"/>
        </w:rPr>
        <w:t>3</w:t>
      </w:r>
      <w:r>
        <w:rPr>
          <w:rFonts w:hint="eastAsia" w:ascii="仿宋_GB2312" w:hAnsi="仿宋_GB2312" w:cs="仿宋_GB2312"/>
          <w:bCs/>
          <w:szCs w:val="32"/>
        </w:rPr>
        <w:t>协同控制智慧平台研发及示范。</w:t>
      </w:r>
    </w:p>
    <w:p>
      <w:pPr>
        <w:pStyle w:val="13"/>
        <w:spacing w:line="540" w:lineRule="exact"/>
        <w:ind w:firstLine="643"/>
        <w:outlineLvl w:val="1"/>
        <w:rPr>
          <w:rFonts w:ascii="仿宋_GB2312" w:hAnsi="仿宋_GB2312" w:cs="仿宋_GB2312"/>
          <w:b/>
          <w:bCs/>
          <w:szCs w:val="32"/>
        </w:rPr>
      </w:pPr>
      <w:r>
        <w:rPr>
          <w:rFonts w:ascii="仿宋_GB2312" w:hAnsi="仿宋_GB2312" w:cs="仿宋_GB2312"/>
          <w:b/>
          <w:bCs/>
          <w:szCs w:val="32"/>
        </w:rPr>
        <w:t>2.</w:t>
      </w:r>
      <w:r>
        <w:rPr>
          <w:rFonts w:hint="eastAsia" w:ascii="仿宋_GB2312" w:hAnsi="仿宋_GB2312" w:cs="仿宋_GB2312"/>
          <w:b/>
          <w:bCs/>
          <w:szCs w:val="32"/>
        </w:rPr>
        <w:t>水体污染控制与治理技术研发及示范</w:t>
      </w:r>
    </w:p>
    <w:p>
      <w:pPr>
        <w:adjustRightInd w:val="0"/>
        <w:snapToGrid w:val="0"/>
        <w:spacing w:line="540" w:lineRule="exact"/>
        <w:ind w:firstLine="640" w:firstLineChars="200"/>
        <w:outlineLvl w:val="1"/>
        <w:rPr>
          <w:rFonts w:ascii="仿宋_GB2312" w:hAnsi="仿宋_GB2312" w:eastAsia="仿宋_GB2312" w:cs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针对饮用水源地及受污染水体修复、初期雨水及农业面源污染控制等问题开展水治理技术体系研究，研发水环境污染物监测、溯源预警、饮用水应急保障及全流程处理技术及装备，建立</w:t>
      </w:r>
      <w:r>
        <w:rPr>
          <w:rFonts w:ascii="仿宋_GB2312" w:hAnsi="仿宋_GB2312" w:eastAsia="仿宋_GB2312" w:cs="仿宋_GB2312"/>
          <w:bCs/>
          <w:kern w:val="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“厂网河一体化”城市排水精细化智慧运营平台。</w:t>
      </w:r>
    </w:p>
    <w:p>
      <w:pPr>
        <w:pStyle w:val="13"/>
        <w:spacing w:line="540" w:lineRule="exact"/>
        <w:ind w:firstLine="643"/>
        <w:outlineLvl w:val="1"/>
        <w:rPr>
          <w:rFonts w:ascii="仿宋_GB2312" w:hAnsi="仿宋_GB2312" w:cs="仿宋_GB2312"/>
          <w:b/>
          <w:bCs/>
          <w:szCs w:val="32"/>
        </w:rPr>
      </w:pPr>
      <w:r>
        <w:rPr>
          <w:rFonts w:ascii="仿宋_GB2312" w:hAnsi="仿宋_GB2312" w:cs="仿宋_GB2312"/>
          <w:b/>
          <w:bCs/>
          <w:szCs w:val="32"/>
        </w:rPr>
        <w:t>3.</w:t>
      </w:r>
      <w:r>
        <w:rPr>
          <w:rFonts w:hint="eastAsia" w:ascii="仿宋_GB2312" w:hAnsi="仿宋_GB2312" w:cs="仿宋_GB2312"/>
          <w:b/>
          <w:bCs/>
          <w:szCs w:val="32"/>
        </w:rPr>
        <w:t>土壤</w:t>
      </w:r>
      <w:r>
        <w:rPr>
          <w:rFonts w:ascii="仿宋_GB2312" w:hAnsi="仿宋_GB2312" w:cs="仿宋_GB2312"/>
          <w:b/>
          <w:bCs/>
          <w:szCs w:val="32"/>
        </w:rPr>
        <w:t>-</w:t>
      </w:r>
      <w:r>
        <w:rPr>
          <w:rFonts w:hint="eastAsia" w:ascii="仿宋_GB2312" w:hAnsi="仿宋_GB2312" w:cs="仿宋_GB2312"/>
          <w:b/>
          <w:bCs/>
          <w:szCs w:val="32"/>
        </w:rPr>
        <w:t>地下水污染防治技术研发及示范</w:t>
      </w:r>
    </w:p>
    <w:p>
      <w:pPr>
        <w:pStyle w:val="13"/>
        <w:spacing w:line="540" w:lineRule="exact"/>
        <w:ind w:firstLine="640"/>
        <w:rPr>
          <w:rFonts w:ascii="仿宋_GB2312" w:hAnsi="仿宋_GB2312" w:cs="仿宋_GB2312"/>
          <w:bCs/>
          <w:szCs w:val="32"/>
        </w:rPr>
      </w:pPr>
      <w:r>
        <w:rPr>
          <w:rFonts w:hint="eastAsia" w:ascii="仿宋_GB2312" w:hAnsi="仿宋_GB2312" w:cs="仿宋_GB2312"/>
          <w:bCs/>
          <w:szCs w:val="32"/>
        </w:rPr>
        <w:t>建立融“监测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预警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防控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修复”于一体的土壤</w:t>
      </w:r>
      <w:r>
        <w:rPr>
          <w:rFonts w:ascii="仿宋_GB2312" w:hAnsi="仿宋_GB2312" w:cs="仿宋_GB2312"/>
          <w:bCs/>
          <w:szCs w:val="32"/>
        </w:rPr>
        <w:t>-</w:t>
      </w:r>
      <w:r>
        <w:rPr>
          <w:rFonts w:hint="eastAsia" w:ascii="仿宋_GB2312" w:hAnsi="仿宋_GB2312" w:cs="仿宋_GB2312"/>
          <w:bCs/>
          <w:szCs w:val="32"/>
        </w:rPr>
        <w:t>地下水污染防治成套技术体系，开发典型行业污染场地复合污染土壤全污染物及异味监测、风险评估及预警智慧平台，研发原位和异位修复技术与装备，并进行应用示范。</w:t>
      </w:r>
    </w:p>
    <w:p>
      <w:pPr>
        <w:pStyle w:val="13"/>
        <w:spacing w:line="540" w:lineRule="exact"/>
        <w:ind w:firstLine="643"/>
        <w:outlineLvl w:val="1"/>
        <w:rPr>
          <w:rFonts w:ascii="仿宋_GB2312" w:hAnsi="仿宋_GB2312" w:cs="仿宋_GB2312"/>
          <w:b/>
          <w:bCs/>
          <w:szCs w:val="32"/>
        </w:rPr>
      </w:pPr>
      <w:r>
        <w:rPr>
          <w:rFonts w:ascii="仿宋_GB2312" w:hAnsi="仿宋_GB2312" w:cs="仿宋_GB2312"/>
          <w:b/>
          <w:bCs/>
          <w:szCs w:val="32"/>
        </w:rPr>
        <w:t xml:space="preserve">4. </w:t>
      </w:r>
      <w:r>
        <w:rPr>
          <w:rFonts w:hint="eastAsia" w:ascii="仿宋_GB2312" w:hAnsi="仿宋_GB2312" w:cs="仿宋_GB2312"/>
          <w:b/>
          <w:bCs/>
          <w:szCs w:val="32"/>
        </w:rPr>
        <w:t>固体废弃物资源化技术研发及示范</w:t>
      </w:r>
    </w:p>
    <w:p>
      <w:pPr>
        <w:pStyle w:val="13"/>
        <w:spacing w:line="540" w:lineRule="exact"/>
        <w:ind w:firstLine="640"/>
        <w:rPr>
          <w:rFonts w:ascii="仿宋_GB2312" w:hAnsi="仿宋_GB2312" w:cs="仿宋_GB2312"/>
          <w:bCs/>
          <w:szCs w:val="32"/>
        </w:rPr>
      </w:pPr>
      <w:r>
        <w:rPr>
          <w:rFonts w:hint="eastAsia" w:ascii="仿宋_GB2312" w:hAnsi="仿宋_GB2312" w:cs="仿宋_GB2312"/>
          <w:bCs/>
          <w:szCs w:val="32"/>
        </w:rPr>
        <w:t>研发生活垃圾、建筑垃圾、电子垃圾、危险废物、污泥和底泥等资源化、减量化、无害化技术及关键设备和工艺。研究城市厨余垃圾资源化利用技术，开展典型地区城市生活垃圾综合分选、全资源化利用技术并进行工程示范。研发生活垃圾智能分类配套终端设备，搭建基于互联网+技术的生活垃圾智能绿色交易平台。</w:t>
      </w:r>
    </w:p>
    <w:p>
      <w:pPr>
        <w:pStyle w:val="13"/>
        <w:spacing w:line="540" w:lineRule="exact"/>
        <w:ind w:firstLine="643"/>
        <w:outlineLvl w:val="1"/>
        <w:rPr>
          <w:rFonts w:ascii="仿宋_GB2312" w:hAnsi="仿宋_GB2312" w:cs="仿宋_GB2312"/>
          <w:b/>
          <w:bCs/>
          <w:szCs w:val="32"/>
        </w:rPr>
      </w:pPr>
      <w:bookmarkStart w:id="0" w:name="_Toc54472658"/>
      <w:r>
        <w:rPr>
          <w:rFonts w:hint="eastAsia" w:ascii="仿宋_GB2312" w:hAnsi="仿宋_GB2312" w:cs="仿宋_GB2312"/>
          <w:b/>
          <w:bCs/>
          <w:szCs w:val="32"/>
        </w:rPr>
        <w:t>5.</w:t>
      </w:r>
      <w:bookmarkEnd w:id="0"/>
      <w:r>
        <w:rPr>
          <w:rFonts w:hint="eastAsia" w:ascii="仿宋_GB2312" w:hAnsi="仿宋_GB2312" w:cs="仿宋_GB2312"/>
          <w:b/>
          <w:bCs/>
          <w:szCs w:val="32"/>
        </w:rPr>
        <w:t xml:space="preserve"> 渤海湾污染控制技术研发与示范</w:t>
      </w:r>
    </w:p>
    <w:p>
      <w:pPr>
        <w:pStyle w:val="13"/>
        <w:spacing w:line="540" w:lineRule="exact"/>
        <w:ind w:firstLine="640"/>
        <w:rPr>
          <w:rFonts w:ascii="仿宋_GB2312" w:hAnsi="仿宋_GB2312" w:cs="仿宋_GB2312"/>
          <w:bCs/>
          <w:szCs w:val="32"/>
        </w:rPr>
      </w:pPr>
      <w:r>
        <w:rPr>
          <w:rFonts w:hint="eastAsia" w:ascii="仿宋_GB2312" w:hAnsi="仿宋_GB2312" w:cs="仿宋_GB2312"/>
          <w:color w:val="000000"/>
          <w:szCs w:val="32"/>
        </w:rPr>
        <w:t>开展闸控型入海河流氮磷排放特征研究，建立渤海湾入海河流氮磷通量估算技术，开发入海排污口数字化监控平台并开展示范。面向新型污染物控制，开展典型新型污染物检测技术及检测装置研发，调查典型新型污染物入海通量。</w:t>
      </w:r>
    </w:p>
    <w:p>
      <w:pPr>
        <w:adjustRightInd w:val="0"/>
        <w:snapToGrid w:val="0"/>
        <w:spacing w:line="540" w:lineRule="exact"/>
        <w:ind w:firstLine="552"/>
        <w:jc w:val="left"/>
        <w:outlineLvl w:val="2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6.自然保护地及生态建设支撑技术研究及示范</w:t>
      </w:r>
    </w:p>
    <w:p>
      <w:pPr>
        <w:pStyle w:val="13"/>
        <w:spacing w:line="540" w:lineRule="exact"/>
        <w:ind w:firstLine="640"/>
        <w:rPr>
          <w:lang w:val="en"/>
        </w:rPr>
      </w:pPr>
      <w:r>
        <w:rPr>
          <w:rFonts w:hint="eastAsia" w:ascii="仿宋_GB2312" w:hAnsi="仿宋_GB2312" w:cs="仿宋_GB2312"/>
          <w:color w:val="000000"/>
          <w:szCs w:val="32"/>
        </w:rPr>
        <w:t>构建滨海地区自然保护地生态保护和修复技术体系，重点开展海岸带</w:t>
      </w:r>
      <w:r>
        <w:rPr>
          <w:rFonts w:hint="eastAsia" w:ascii="仿宋_GB2312" w:hAnsi="仿宋_GB2312" w:cs="仿宋_GB2312"/>
          <w:szCs w:val="32"/>
        </w:rPr>
        <w:t>牡蛎礁、滨海湿地等重要生态功能的生态恢复研究与示范，研发人工鱼礁、盐</w:t>
      </w:r>
      <w:r>
        <w:rPr>
          <w:rFonts w:hint="eastAsia" w:ascii="仿宋_GB2312" w:hAnsi="仿宋_GB2312" w:cs="仿宋_GB2312"/>
          <w:color w:val="000000"/>
          <w:szCs w:val="32"/>
        </w:rPr>
        <w:t>碱地生态治理、特殊立地生态建设等技术并开展应用示范。</w:t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宋体-方正超大字符集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Nimbus Roman No9 L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A02"/>
    <w:rsid w:val="00073204"/>
    <w:rsid w:val="00162A02"/>
    <w:rsid w:val="001C54ED"/>
    <w:rsid w:val="001D14A7"/>
    <w:rsid w:val="00221EAD"/>
    <w:rsid w:val="00223B7A"/>
    <w:rsid w:val="00241C33"/>
    <w:rsid w:val="00255124"/>
    <w:rsid w:val="0028674B"/>
    <w:rsid w:val="002E1C1B"/>
    <w:rsid w:val="002F01E4"/>
    <w:rsid w:val="002F4C72"/>
    <w:rsid w:val="0032297D"/>
    <w:rsid w:val="0034263E"/>
    <w:rsid w:val="003E5069"/>
    <w:rsid w:val="004241C7"/>
    <w:rsid w:val="004571D2"/>
    <w:rsid w:val="004F405D"/>
    <w:rsid w:val="00552908"/>
    <w:rsid w:val="00594AA6"/>
    <w:rsid w:val="00647828"/>
    <w:rsid w:val="006813E6"/>
    <w:rsid w:val="006C4CBF"/>
    <w:rsid w:val="006C67C9"/>
    <w:rsid w:val="006F17F7"/>
    <w:rsid w:val="007037A0"/>
    <w:rsid w:val="0071748A"/>
    <w:rsid w:val="00773828"/>
    <w:rsid w:val="007763DD"/>
    <w:rsid w:val="007B7798"/>
    <w:rsid w:val="007D376A"/>
    <w:rsid w:val="0083647C"/>
    <w:rsid w:val="00843B6E"/>
    <w:rsid w:val="008A05AC"/>
    <w:rsid w:val="008D2C7A"/>
    <w:rsid w:val="00917D4B"/>
    <w:rsid w:val="00953D37"/>
    <w:rsid w:val="00A52318"/>
    <w:rsid w:val="00A7123C"/>
    <w:rsid w:val="00A835B7"/>
    <w:rsid w:val="00AE6330"/>
    <w:rsid w:val="00B53FCA"/>
    <w:rsid w:val="00BF12E1"/>
    <w:rsid w:val="00CA4E75"/>
    <w:rsid w:val="00D2491E"/>
    <w:rsid w:val="00D64D4C"/>
    <w:rsid w:val="00DA2B18"/>
    <w:rsid w:val="00DA326D"/>
    <w:rsid w:val="00DB484A"/>
    <w:rsid w:val="00E32348"/>
    <w:rsid w:val="00F03E23"/>
    <w:rsid w:val="00F15FA1"/>
    <w:rsid w:val="00F33741"/>
    <w:rsid w:val="00F3503F"/>
    <w:rsid w:val="00F5738C"/>
    <w:rsid w:val="02FE81C3"/>
    <w:rsid w:val="17DF37E3"/>
    <w:rsid w:val="18B63BE2"/>
    <w:rsid w:val="197F65CD"/>
    <w:rsid w:val="1C7F22CA"/>
    <w:rsid w:val="1F9EAB5D"/>
    <w:rsid w:val="2DE5E8F9"/>
    <w:rsid w:val="2FEDD2CD"/>
    <w:rsid w:val="31752148"/>
    <w:rsid w:val="35CFC0C6"/>
    <w:rsid w:val="38DE2E49"/>
    <w:rsid w:val="39BFE56B"/>
    <w:rsid w:val="3B7FFB7B"/>
    <w:rsid w:val="3F7F7EE5"/>
    <w:rsid w:val="3FF364CF"/>
    <w:rsid w:val="439C1B7F"/>
    <w:rsid w:val="4CFF6603"/>
    <w:rsid w:val="52FE1AA5"/>
    <w:rsid w:val="57FDAC0A"/>
    <w:rsid w:val="5DDFA996"/>
    <w:rsid w:val="5DEF1F61"/>
    <w:rsid w:val="5FF3CB14"/>
    <w:rsid w:val="655BA727"/>
    <w:rsid w:val="66DFAE22"/>
    <w:rsid w:val="677AC716"/>
    <w:rsid w:val="67FFA9A3"/>
    <w:rsid w:val="6D1FBFFE"/>
    <w:rsid w:val="6DF6C057"/>
    <w:rsid w:val="6FBED2C5"/>
    <w:rsid w:val="72FD11EA"/>
    <w:rsid w:val="773D23D2"/>
    <w:rsid w:val="77AFFBA3"/>
    <w:rsid w:val="77B2B45C"/>
    <w:rsid w:val="796FD3E3"/>
    <w:rsid w:val="79AF7B21"/>
    <w:rsid w:val="7BFF7608"/>
    <w:rsid w:val="7C633B89"/>
    <w:rsid w:val="7DBFD5E2"/>
    <w:rsid w:val="7DDF2F06"/>
    <w:rsid w:val="7E9FE5FE"/>
    <w:rsid w:val="7ED70302"/>
    <w:rsid w:val="7EF1B9DC"/>
    <w:rsid w:val="7EF22498"/>
    <w:rsid w:val="7EFB5670"/>
    <w:rsid w:val="7EFF2A6C"/>
    <w:rsid w:val="7EFF7977"/>
    <w:rsid w:val="7F6F9714"/>
    <w:rsid w:val="7FB66928"/>
    <w:rsid w:val="8BE72F84"/>
    <w:rsid w:val="97FF7AA6"/>
    <w:rsid w:val="9BA637F4"/>
    <w:rsid w:val="A7FF3CC0"/>
    <w:rsid w:val="BE565CA8"/>
    <w:rsid w:val="BFBF2DB7"/>
    <w:rsid w:val="C6DFD8D9"/>
    <w:rsid w:val="CFF4859E"/>
    <w:rsid w:val="D3FCFD5E"/>
    <w:rsid w:val="D7BC5531"/>
    <w:rsid w:val="DAAF971D"/>
    <w:rsid w:val="DBBF0FCF"/>
    <w:rsid w:val="DCDD9A40"/>
    <w:rsid w:val="DF5F30F2"/>
    <w:rsid w:val="DFDFA949"/>
    <w:rsid w:val="DFFBA29F"/>
    <w:rsid w:val="E67F0284"/>
    <w:rsid w:val="ED7324A8"/>
    <w:rsid w:val="EDFB5004"/>
    <w:rsid w:val="EEEF5C5B"/>
    <w:rsid w:val="EEFE9E7D"/>
    <w:rsid w:val="EFE54D48"/>
    <w:rsid w:val="F27FA57F"/>
    <w:rsid w:val="F8FFF0D8"/>
    <w:rsid w:val="F97E0759"/>
    <w:rsid w:val="F9BB9FDE"/>
    <w:rsid w:val="FAD73B8E"/>
    <w:rsid w:val="FB7BFA41"/>
    <w:rsid w:val="FBEF7E3E"/>
    <w:rsid w:val="FBFF4186"/>
    <w:rsid w:val="FEE537DE"/>
    <w:rsid w:val="FEF8DA73"/>
    <w:rsid w:val="FF77404C"/>
    <w:rsid w:val="FF7E3D97"/>
    <w:rsid w:val="FF7FC856"/>
    <w:rsid w:val="FF9BF797"/>
    <w:rsid w:val="FFCFA559"/>
    <w:rsid w:val="FFD51283"/>
    <w:rsid w:val="FFF36263"/>
    <w:rsid w:val="FFF49AC3"/>
    <w:rsid w:val="FFFA9CC1"/>
    <w:rsid w:val="FFFF5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line="360" w:lineRule="auto"/>
      <w:outlineLvl w:val="1"/>
    </w:pPr>
    <w:rPr>
      <w:rFonts w:ascii="Times New Roman" w:hAnsi="Times New Roman" w:eastAsia="黑体"/>
      <w:bCs/>
      <w:sz w:val="24"/>
      <w:szCs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560" w:lineRule="exact"/>
      <w:ind w:firstLine="480" w:firstLineChars="200"/>
      <w:jc w:val="left"/>
    </w:pPr>
    <w:rPr>
      <w:szCs w:val="24"/>
    </w:rPr>
  </w:style>
  <w:style w:type="paragraph" w:styleId="5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6">
    <w:name w:val="Subtitle"/>
    <w:basedOn w:val="4"/>
    <w:next w:val="1"/>
    <w:qFormat/>
    <w:uiPriority w:val="0"/>
    <w:pPr>
      <w:tabs>
        <w:tab w:val="left" w:pos="7371"/>
        <w:tab w:val="left" w:pos="7513"/>
      </w:tabs>
      <w:adjustRightInd w:val="0"/>
      <w:snapToGrid w:val="0"/>
      <w:spacing w:line="560" w:lineRule="exact"/>
      <w:ind w:firstLine="605" w:firstLineChars="200"/>
    </w:pPr>
    <w:rPr>
      <w:rFonts w:ascii="楷体_GB2312" w:hAnsi="Cambria" w:eastAsia="楷体_GB2312" w:cs="Times New Roman"/>
      <w:kern w:val="0"/>
      <w:sz w:val="32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Hyperlink"/>
    <w:basedOn w:val="9"/>
    <w:semiHidden/>
    <w:unhideWhenUsed/>
    <w:qFormat/>
    <w:uiPriority w:val="99"/>
    <w:rPr>
      <w:color w:val="0000FF"/>
      <w:u w:val="single"/>
    </w:rPr>
  </w:style>
  <w:style w:type="paragraph" w:customStyle="1" w:styleId="12">
    <w:name w:val="qt-attachments-tit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3">
    <w:name w:val="List Paragraph"/>
    <w:basedOn w:val="1"/>
    <w:qFormat/>
    <w:uiPriority w:val="34"/>
    <w:pPr>
      <w:tabs>
        <w:tab w:val="left" w:pos="7371"/>
        <w:tab w:val="left" w:pos="7513"/>
      </w:tabs>
      <w:adjustRightInd w:val="0"/>
      <w:snapToGrid w:val="0"/>
      <w:spacing w:line="560" w:lineRule="exact"/>
      <w:ind w:firstLine="420" w:firstLineChars="200"/>
    </w:pPr>
    <w:rPr>
      <w:rFonts w:ascii="Calibri" w:hAnsi="Calibri" w:eastAsia="仿宋_GB2312" w:cs="Times New Roman"/>
      <w:kern w:val="0"/>
      <w:sz w:val="32"/>
    </w:rPr>
  </w:style>
  <w:style w:type="character" w:customStyle="1" w:styleId="14">
    <w:name w:val="批注框文本 Char"/>
    <w:basedOn w:val="9"/>
    <w:link w:val="5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912</Words>
  <Characters>5200</Characters>
  <Lines>43</Lines>
  <Paragraphs>12</Paragraphs>
  <TotalTime>15</TotalTime>
  <ScaleCrop>false</ScaleCrop>
  <LinksUpToDate>false</LinksUpToDate>
  <CharactersWithSpaces>6100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2021-05-08T07:57:00Z</dcterms:created>
  <dc:creator>wu</dc:creator>
  <cp:lastModifiedBy>wangying</cp:lastModifiedBy>
  <cp:lastPrinted>2021-05-08T22:40:00Z</cp:lastPrinted>
  <dcterms:modified xsi:type="dcterms:W3CDTF">2021-05-08T09:03:11Z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